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007C" w:rsidRPr="0048007C" w:rsidRDefault="0048007C" w:rsidP="0048007C">
      <w:pPr>
        <w:jc w:val="center"/>
        <w:rPr>
          <w:b/>
          <w:bCs/>
        </w:rPr>
      </w:pPr>
      <w:r w:rsidRPr="0048007C">
        <w:rPr>
          <w:b/>
          <w:bCs/>
        </w:rPr>
        <w:t>• Правовые основания использования</w:t>
      </w:r>
    </w:p>
    <w:p w:rsidR="0048007C" w:rsidRDefault="0048007C" w:rsidP="0048007C">
      <w:r>
        <w:br/>
        <w:t>Это единственное программное обеспечение, включенное в стандарт оснащения неврологического отделения для больных с острыми нарушениями мозгового кровообращения (первичного сосудистого отделения), которое легализовано Росздравнадзором для применения медицинскими учреждениями, так как Федеральным Государственным Бюджетным Учреждением «Национальный института качества» Росздравнадзора не признано медицинским изделием ((Отчет ФГБУ «Национальный института качества» Росздравнадзора об отнесении программного обеспечения к не медицинским изделиям от 21.04.2022 г.).</w:t>
      </w:r>
      <w:r>
        <w:br/>
        <w:t>Программа успешно выдержала сертификационные испытания в независимой аккредитованной организации</w:t>
      </w:r>
      <w:r>
        <w:br/>
        <w:t>(Сертификат соответствия РОСС RU.32001.04ИБФ1.ОСП18.19885 от 24.05.2022).</w:t>
      </w:r>
    </w:p>
    <w:p w:rsidR="0048007C" w:rsidRPr="0048007C" w:rsidRDefault="0048007C" w:rsidP="0048007C">
      <w:pPr>
        <w:jc w:val="center"/>
        <w:rPr>
          <w:b/>
          <w:bCs/>
        </w:rPr>
      </w:pPr>
      <w:r>
        <w:br/>
      </w:r>
      <w:r w:rsidRPr="0048007C">
        <w:rPr>
          <w:b/>
          <w:bCs/>
        </w:rPr>
        <w:t>• Функционал</w:t>
      </w:r>
    </w:p>
    <w:p w:rsidR="0048007C" w:rsidRDefault="0048007C" w:rsidP="0048007C">
      <w:r>
        <w:br/>
        <w:t>Программный пакет содержит 7 модулей:</w:t>
      </w:r>
      <w:r>
        <w:br/>
        <w:t>1. Модуль «Программа индивидуализированной вторичной профилактики повторного сосудистого события пациента».</w:t>
      </w:r>
      <w:r>
        <w:br/>
        <w:t>2. Модуль «Анамнез».</w:t>
      </w:r>
      <w:r>
        <w:br/>
        <w:t>3. Модуль «Оценка индивидуального риска повторного сосудистого события (клинические шкалы)».</w:t>
      </w:r>
      <w:r>
        <w:br/>
        <w:t>4. Модуль «Коррекция факторов риска повторного сосудистого события».</w:t>
      </w:r>
      <w:r>
        <w:br/>
        <w:t>5. Модуль «Дыхательная, артикуляционная гимнастика».</w:t>
      </w:r>
      <w:r>
        <w:br/>
        <w:t>6. Модуль «Медикаментозная терапия».</w:t>
      </w:r>
      <w:r>
        <w:br/>
        <w:t>7. Модуль «Программа восстановление речевого мышления», который в свою очередь включает 7 программ восстановления речевого мышления, содержащих 85 упражнений:</w:t>
      </w:r>
      <w:r>
        <w:br/>
        <w:t>7.1. «Программа восстановление речи для больных с грубой сенсомоторной афазией» (7 упражнений).</w:t>
      </w:r>
      <w:r>
        <w:br/>
        <w:t>7.2. «Программа восстановление речи для больных с динамической афазией» (11 упражнений).</w:t>
      </w:r>
      <w:r>
        <w:br/>
        <w:t xml:space="preserve">7.3. «Программа восстановление речи для больных с </w:t>
      </w:r>
      <w:proofErr w:type="spellStart"/>
      <w:r>
        <w:t>эфферентно</w:t>
      </w:r>
      <w:proofErr w:type="spellEnd"/>
      <w:r>
        <w:t>-моторной афазией» (10 упражнений).</w:t>
      </w:r>
      <w:r>
        <w:br/>
        <w:t>7.4. «Программа восстановление речи для больных с афферентно-моторной афазией» (14 упражнений).</w:t>
      </w:r>
      <w:r>
        <w:br/>
        <w:t>7.5. «Программа восстановление речи для больных с акустико-гностической афазией» (12 упражнений).</w:t>
      </w:r>
      <w:r>
        <w:br/>
        <w:t>7.6. «Программа восстановление речи для больных с акустико-</w:t>
      </w:r>
      <w:proofErr w:type="spellStart"/>
      <w:r>
        <w:t>мнестической</w:t>
      </w:r>
      <w:proofErr w:type="spellEnd"/>
      <w:r>
        <w:t xml:space="preserve"> афазией» (16 упражнений).</w:t>
      </w:r>
      <w:r>
        <w:br/>
        <w:t>7.7. «Программа восстановление речи для больных с семантической афазией» (15 упражнений).</w:t>
      </w:r>
    </w:p>
    <w:p w:rsidR="0048007C" w:rsidRPr="0048007C" w:rsidRDefault="0048007C" w:rsidP="0048007C">
      <w:pPr>
        <w:jc w:val="center"/>
        <w:rPr>
          <w:b/>
          <w:bCs/>
        </w:rPr>
      </w:pPr>
      <w:r>
        <w:br/>
      </w:r>
      <w:r w:rsidRPr="0048007C">
        <w:rPr>
          <w:b/>
          <w:bCs/>
        </w:rPr>
        <w:t>• Лицензирование</w:t>
      </w:r>
    </w:p>
    <w:p w:rsidR="0048007C" w:rsidRDefault="0048007C" w:rsidP="0048007C">
      <w:r>
        <w:br/>
        <w:t>Программное обеспечение обязательно для осуществления лицензирования, прохождения надзорных проверок и использования во врачебной практике.</w:t>
      </w:r>
    </w:p>
    <w:p w:rsidR="0048007C" w:rsidRPr="0048007C" w:rsidRDefault="0048007C" w:rsidP="0048007C">
      <w:pPr>
        <w:jc w:val="center"/>
        <w:rPr>
          <w:b/>
          <w:bCs/>
        </w:rPr>
      </w:pPr>
      <w:r>
        <w:br/>
      </w:r>
      <w:r w:rsidRPr="0048007C">
        <w:rPr>
          <w:b/>
          <w:bCs/>
        </w:rPr>
        <w:t>• Квалификация</w:t>
      </w:r>
    </w:p>
    <w:p w:rsidR="0048007C" w:rsidRDefault="0048007C" w:rsidP="0048007C">
      <w:r>
        <w:br/>
        <w:t>Использование данной программы обеспечит высокое качество оказания медицинской помощи в вашем учреждении, обеспечит создание оптимальной программы индивидуализированной вторичной профилактики повторного сосудистого события конкретного пациента.</w:t>
      </w:r>
    </w:p>
    <w:p w:rsidR="0048007C" w:rsidRPr="0048007C" w:rsidRDefault="0048007C" w:rsidP="0048007C">
      <w:pPr>
        <w:jc w:val="center"/>
        <w:rPr>
          <w:b/>
          <w:bCs/>
        </w:rPr>
      </w:pPr>
      <w:r>
        <w:lastRenderedPageBreak/>
        <w:br/>
      </w:r>
      <w:r w:rsidRPr="0048007C">
        <w:rPr>
          <w:b/>
          <w:bCs/>
        </w:rPr>
        <w:t>• Применение</w:t>
      </w:r>
    </w:p>
    <w:p w:rsidR="0048007C" w:rsidRDefault="0048007C" w:rsidP="0048007C">
      <w:r>
        <w:br/>
        <w:t>ПО является интерактивной программой поддержки принятия решений специалистом, предназначенной для создания оптимальной программы индивидуализированной вторичной профилактики повторного сосудистого события пациента, представляющей собой комплекс мульти дисциплинарных мероприятий, включающий в себя:</w:t>
      </w:r>
    </w:p>
    <w:p w:rsidR="0048007C" w:rsidRDefault="0048007C" w:rsidP="0048007C">
      <w:r>
        <w:br/>
        <w:t>• оценку индивидуального риска повторного сосудистого события;</w:t>
      </w:r>
      <w:r>
        <w:br/>
        <w:t>• коррекцию факторов риска повторного сосудистого события;</w:t>
      </w:r>
      <w:r>
        <w:br/>
        <w:t>• программу восстановления речевого мышления;</w:t>
      </w:r>
      <w:r>
        <w:br/>
        <w:t>• дыхательную, артикуляционную гимнастику;</w:t>
      </w:r>
      <w:r>
        <w:br/>
        <w:t>• медикаментозную терапию.</w:t>
      </w:r>
      <w:r>
        <w:br/>
        <w:t>• Удобство использования</w:t>
      </w:r>
    </w:p>
    <w:p w:rsidR="0048007C" w:rsidRDefault="0048007C" w:rsidP="0048007C">
      <w:r>
        <w:br/>
        <w:t>- программа поставляется на ПК с двумя мониторами (один монитор для специалиста, второй монитор с сенсорным управлением для пациента), манипулятор мышь с интерфейсом USB (2-х кнопочная мышь с колесом прокрутки); клавиатура 101/102-x клавишная рус/лат; динамики, кронштейн для крепления 2-х мониторов с возможность наклона и поворота;</w:t>
      </w:r>
    </w:p>
    <w:p w:rsidR="0048007C" w:rsidRDefault="0048007C" w:rsidP="0048007C">
      <w:r>
        <w:br/>
        <w:t>- простота пользовательского интерфейса и установки на ПК обеспечивает комфортную работу пользователя, даже с низким уровнем владения персональным компьютером</w:t>
      </w:r>
    </w:p>
    <w:p w:rsidR="0048007C" w:rsidRDefault="0048007C" w:rsidP="0048007C">
      <w:r>
        <w:br/>
        <w:t>- легкая управляемость, «дружественность» интерфейса к пользователю;</w:t>
      </w:r>
    </w:p>
    <w:p w:rsidR="0048007C" w:rsidRDefault="0048007C" w:rsidP="0048007C">
      <w:r>
        <w:br/>
        <w:t>- единый графический дизайн экранных форм пользовательского интерфейса;</w:t>
      </w:r>
    </w:p>
    <w:p w:rsidR="0048007C" w:rsidRDefault="0048007C" w:rsidP="0048007C">
      <w:r>
        <w:br/>
        <w:t>- одинаковое расположение основных элементов управления и навигации;</w:t>
      </w:r>
    </w:p>
    <w:p w:rsidR="0048007C" w:rsidRDefault="0048007C" w:rsidP="0048007C">
      <w:r>
        <w:br/>
        <w:t>- термины, используемые для обозначения типовых операций, а также последовательности действий пользователя при их выполнении, унифицированы;</w:t>
      </w:r>
    </w:p>
    <w:p w:rsidR="0048007C" w:rsidRDefault="0048007C" w:rsidP="0048007C">
      <w:r>
        <w:br/>
        <w:t>- возможность комбинирования с иными методами психодиагностики</w:t>
      </w:r>
    </w:p>
    <w:p w:rsidR="00C713BF" w:rsidRPr="0048007C" w:rsidRDefault="00C713BF" w:rsidP="00A14234">
      <w:pPr>
        <w:pStyle w:val="a4"/>
        <w:spacing w:before="0" w:beforeAutospacing="0" w:after="0" w:afterAutospacing="0"/>
        <w:jc w:val="right"/>
        <w:rPr>
          <w:rFonts w:ascii="Bookman Old Style" w:hAnsi="Bookman Old Style"/>
          <w:sz w:val="22"/>
          <w:szCs w:val="22"/>
        </w:rPr>
      </w:pPr>
    </w:p>
    <w:sectPr w:rsidR="00C713BF" w:rsidRPr="0048007C" w:rsidSect="00841C10">
      <w:headerReference w:type="default" r:id="rId7"/>
      <w:footerReference w:type="default" r:id="rId8"/>
      <w:pgSz w:w="12240" w:h="15840"/>
      <w:pgMar w:top="568" w:right="333" w:bottom="284" w:left="567" w:header="284"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2B36" w:rsidRDefault="00B52B36" w:rsidP="00B91293">
      <w:pPr>
        <w:spacing w:after="0" w:line="240" w:lineRule="auto"/>
      </w:pPr>
      <w:r>
        <w:separator/>
      </w:r>
    </w:p>
  </w:endnote>
  <w:endnote w:type="continuationSeparator" w:id="0">
    <w:p w:rsidR="00B52B36" w:rsidRDefault="00B52B36" w:rsidP="00B91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Leelawadee">
    <w:altName w:val="Leelawadee"/>
    <w:panose1 w:val="020B0502040204020203"/>
    <w:charset w:val="00"/>
    <w:family w:val="swiss"/>
    <w:pitch w:val="variable"/>
    <w:sig w:usb0="01000003" w:usb1="00000000" w:usb2="00000000" w:usb3="00000000" w:csb0="0001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1D36" w:rsidRDefault="004D1D36" w:rsidP="004D1D36">
    <w:pPr>
      <w:pStyle w:val="a7"/>
      <w:jc w:val="right"/>
    </w:pPr>
    <w:r>
      <w:rPr>
        <w:noProof/>
      </w:rPr>
      <w:drawing>
        <wp:inline distT="0" distB="0" distL="0" distR="0" wp14:anchorId="5D5C5FB7" wp14:editId="3BD0E305">
          <wp:extent cx="1241714" cy="3238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227" cy="327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2B36" w:rsidRDefault="00B52B36" w:rsidP="00B91293">
      <w:pPr>
        <w:spacing w:after="0" w:line="240" w:lineRule="auto"/>
      </w:pPr>
      <w:r>
        <w:separator/>
      </w:r>
    </w:p>
  </w:footnote>
  <w:footnote w:type="continuationSeparator" w:id="0">
    <w:p w:rsidR="00B52B36" w:rsidRDefault="00B52B36" w:rsidP="00B91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114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6"/>
    </w:tblGrid>
    <w:tr w:rsidR="00D8530C" w:rsidRPr="0048007C" w:rsidTr="00841C10">
      <w:trPr>
        <w:trHeight w:val="847"/>
      </w:trPr>
      <w:tc>
        <w:tcPr>
          <w:tcW w:w="11476" w:type="dxa"/>
        </w:tcPr>
        <w:tbl>
          <w:tblPr>
            <w:tblStyle w:val="a9"/>
            <w:tblW w:w="10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0"/>
            <w:gridCol w:w="7359"/>
          </w:tblGrid>
          <w:tr w:rsidR="00841C10" w:rsidRPr="0048007C" w:rsidTr="00A435FA">
            <w:trPr>
              <w:trHeight w:val="1409"/>
            </w:trPr>
            <w:tc>
              <w:tcPr>
                <w:tcW w:w="3590" w:type="dxa"/>
              </w:tcPr>
              <w:p w:rsidR="004D1D36" w:rsidRPr="00841C10" w:rsidRDefault="00841C10" w:rsidP="00841C10">
                <w:pPr>
                  <w:ind w:left="-106"/>
                  <w:rPr>
                    <w:rFonts w:ascii="Bookman Old Style" w:hAnsi="Bookman Old Style"/>
                    <w:sz w:val="18"/>
                    <w:szCs w:val="18"/>
                  </w:rPr>
                </w:pPr>
                <w:r w:rsidRPr="00841C10">
                  <w:rPr>
                    <w:rFonts w:ascii="Bookman Old Style" w:hAnsi="Bookman Old Style"/>
                    <w:noProof/>
                    <w:sz w:val="18"/>
                    <w:szCs w:val="18"/>
                  </w:rPr>
                  <w:drawing>
                    <wp:inline distT="0" distB="0" distL="0" distR="0" wp14:anchorId="43F2E27F" wp14:editId="7E9ED613">
                      <wp:extent cx="2209800" cy="576367"/>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33994" cy="608760"/>
                              </a:xfrm>
                              <a:prstGeom prst="rect">
                                <a:avLst/>
                              </a:prstGeom>
                              <a:noFill/>
                              <a:ln>
                                <a:noFill/>
                              </a:ln>
                            </pic:spPr>
                          </pic:pic>
                        </a:graphicData>
                      </a:graphic>
                    </wp:inline>
                  </w:drawing>
                </w:r>
              </w:p>
            </w:tc>
            <w:tc>
              <w:tcPr>
                <w:tcW w:w="7359" w:type="dxa"/>
              </w:tcPr>
              <w:p w:rsidR="004D1D36" w:rsidRPr="00A46834" w:rsidRDefault="004D1D36" w:rsidP="00A435FA">
                <w:pPr>
                  <w:jc w:val="right"/>
                  <w:rPr>
                    <w:rFonts w:ascii="Century Gothic" w:hAnsi="Century Gothic"/>
                    <w:b/>
                    <w:bCs/>
                    <w:color w:val="002060"/>
                    <w:sz w:val="18"/>
                    <w:szCs w:val="18"/>
                    <w:lang w:val="ru-RU"/>
                  </w:rPr>
                </w:pPr>
                <w:r w:rsidRPr="00A46834">
                  <w:rPr>
                    <w:rFonts w:ascii="Century Gothic" w:hAnsi="Century Gothic"/>
                    <w:b/>
                    <w:bCs/>
                    <w:color w:val="002060"/>
                    <w:sz w:val="18"/>
                    <w:szCs w:val="18"/>
                    <w:lang w:val="ru-RU"/>
                  </w:rPr>
                  <w:t>Общество с ограниченной ответственностью «</w:t>
                </w:r>
                <w:proofErr w:type="spellStart"/>
                <w:r w:rsidRPr="00A46834">
                  <w:rPr>
                    <w:rFonts w:ascii="Century Gothic" w:hAnsi="Century Gothic"/>
                    <w:b/>
                    <w:bCs/>
                    <w:color w:val="002060"/>
                    <w:sz w:val="18"/>
                    <w:szCs w:val="18"/>
                    <w:lang w:val="ru-RU"/>
                  </w:rPr>
                  <w:t>Амбимед</w:t>
                </w:r>
                <w:proofErr w:type="spellEnd"/>
                <w:r w:rsidRPr="00A46834">
                  <w:rPr>
                    <w:rFonts w:ascii="Century Gothic" w:hAnsi="Century Gothic"/>
                    <w:b/>
                    <w:bCs/>
                    <w:color w:val="002060"/>
                    <w:sz w:val="18"/>
                    <w:szCs w:val="18"/>
                    <w:lang w:val="ru-RU"/>
                  </w:rPr>
                  <w:t>»</w:t>
                </w:r>
              </w:p>
              <w:p w:rsidR="004D1D36" w:rsidRPr="00A46834" w:rsidRDefault="004D1D36" w:rsidP="00A435FA">
                <w:pPr>
                  <w:jc w:val="right"/>
                  <w:rPr>
                    <w:rFonts w:ascii="Century Gothic" w:hAnsi="Century Gothic"/>
                    <w:b/>
                    <w:bCs/>
                    <w:color w:val="002060"/>
                    <w:sz w:val="18"/>
                    <w:szCs w:val="18"/>
                    <w:lang w:val="ru-RU"/>
                  </w:rPr>
                </w:pPr>
                <w:r w:rsidRPr="00A46834">
                  <w:rPr>
                    <w:rFonts w:ascii="Century Gothic" w:hAnsi="Century Gothic"/>
                    <w:b/>
                    <w:bCs/>
                    <w:color w:val="002060"/>
                    <w:sz w:val="18"/>
                    <w:szCs w:val="18"/>
                    <w:lang w:val="ru-RU"/>
                  </w:rPr>
                  <w:t>ИНН 7806299910 КПП 780601001</w:t>
                </w:r>
              </w:p>
              <w:p w:rsidR="004D1D36" w:rsidRPr="00A46834" w:rsidRDefault="004D1D36" w:rsidP="00A435FA">
                <w:pPr>
                  <w:ind w:left="-287" w:firstLine="287"/>
                  <w:jc w:val="right"/>
                  <w:rPr>
                    <w:rFonts w:ascii="Century Gothic" w:hAnsi="Century Gothic"/>
                    <w:b/>
                    <w:bCs/>
                    <w:color w:val="002060"/>
                    <w:sz w:val="18"/>
                    <w:szCs w:val="18"/>
                    <w:lang w:val="ru-RU"/>
                  </w:rPr>
                </w:pPr>
                <w:r w:rsidRPr="00A46834">
                  <w:rPr>
                    <w:rFonts w:ascii="Century Gothic" w:hAnsi="Century Gothic"/>
                    <w:b/>
                    <w:bCs/>
                    <w:color w:val="002060"/>
                    <w:sz w:val="18"/>
                    <w:szCs w:val="18"/>
                    <w:lang w:val="ru-RU"/>
                  </w:rPr>
                  <w:t>195273, г. Санкт-Петербург, Пискарёвский пр. д. 63, офис 201</w:t>
                </w:r>
              </w:p>
              <w:p w:rsidR="004D1D36" w:rsidRPr="00A46834" w:rsidRDefault="004D1D36" w:rsidP="00A435FA">
                <w:pPr>
                  <w:jc w:val="right"/>
                  <w:rPr>
                    <w:rFonts w:ascii="Bookman Old Style" w:hAnsi="Bookman Old Style"/>
                    <w:b/>
                    <w:bCs/>
                    <w:color w:val="2E74B5" w:themeColor="accent1" w:themeShade="BF"/>
                    <w:sz w:val="18"/>
                    <w:szCs w:val="18"/>
                  </w:rPr>
                </w:pPr>
                <w:r w:rsidRPr="00A46834">
                  <w:rPr>
                    <w:rFonts w:ascii="Century Gothic" w:hAnsi="Century Gothic"/>
                    <w:b/>
                    <w:bCs/>
                    <w:color w:val="002060"/>
                    <w:sz w:val="18"/>
                    <w:szCs w:val="18"/>
                  </w:rPr>
                  <w:t xml:space="preserve">Тел.: 8 (812) 309-17-47, e-mail: </w:t>
                </w:r>
                <w:hyperlink r:id="rId2" w:history="1">
                  <w:r w:rsidRPr="00A46834">
                    <w:rPr>
                      <w:rStyle w:val="a3"/>
                      <w:rFonts w:ascii="Century Gothic" w:hAnsi="Century Gothic"/>
                      <w:b/>
                      <w:bCs/>
                      <w:color w:val="002060"/>
                      <w:sz w:val="18"/>
                      <w:szCs w:val="18"/>
                    </w:rPr>
                    <w:t>info@ambimed.ru</w:t>
                  </w:r>
                </w:hyperlink>
              </w:p>
            </w:tc>
          </w:tr>
        </w:tbl>
        <w:p w:rsidR="00D8530C" w:rsidRPr="00DF3FB2" w:rsidRDefault="00D8530C" w:rsidP="00841C10">
          <w:pPr>
            <w:rPr>
              <w:rFonts w:ascii="Bookman Old Style" w:hAnsi="Bookman Old Style"/>
              <w:sz w:val="18"/>
              <w:szCs w:val="18"/>
            </w:rPr>
          </w:pPr>
        </w:p>
      </w:tc>
    </w:tr>
  </w:tbl>
  <w:p w:rsidR="00841C10" w:rsidRPr="003F5BC7" w:rsidRDefault="00841C10" w:rsidP="00841C10">
    <w:pPr>
      <w:spacing w:after="0" w:line="240" w:lineRule="auto"/>
      <w:jc w:val="center"/>
      <w:rPr>
        <w:rFonts w:ascii="Century Gothic" w:hAnsi="Century Gothic" w:cs="Leelawadee"/>
        <w:b/>
        <w:bCs/>
        <w:color w:val="002060"/>
        <w:sz w:val="18"/>
        <w:szCs w:val="18"/>
      </w:rPr>
    </w:pPr>
    <w:r w:rsidRPr="003F5BC7">
      <w:rPr>
        <w:rFonts w:ascii="Century Gothic" w:hAnsi="Century Gothic" w:cs="Calibri"/>
        <w:b/>
        <w:bCs/>
        <w:color w:val="002060"/>
        <w:sz w:val="18"/>
        <w:szCs w:val="18"/>
      </w:rPr>
      <w:t>Готовые</w:t>
    </w:r>
    <w:r w:rsidRPr="003F5BC7">
      <w:rPr>
        <w:rFonts w:ascii="Century Gothic" w:hAnsi="Century Gothic" w:cs="Leelawadee"/>
        <w:b/>
        <w:bCs/>
        <w:color w:val="002060"/>
        <w:sz w:val="18"/>
        <w:szCs w:val="18"/>
      </w:rPr>
      <w:t xml:space="preserve"> </w:t>
    </w:r>
    <w:r w:rsidRPr="003F5BC7">
      <w:rPr>
        <w:rFonts w:ascii="Century Gothic" w:hAnsi="Century Gothic" w:cs="Calibri"/>
        <w:b/>
        <w:bCs/>
        <w:color w:val="002060"/>
        <w:sz w:val="18"/>
        <w:szCs w:val="18"/>
      </w:rPr>
      <w:t>решения</w:t>
    </w:r>
    <w:r w:rsidRPr="003F5BC7">
      <w:rPr>
        <w:rFonts w:ascii="Century Gothic" w:hAnsi="Century Gothic" w:cs="Leelawadee"/>
        <w:b/>
        <w:bCs/>
        <w:color w:val="002060"/>
        <w:sz w:val="18"/>
        <w:szCs w:val="18"/>
      </w:rPr>
      <w:t xml:space="preserve"> </w:t>
    </w:r>
    <w:r w:rsidRPr="003F5BC7">
      <w:rPr>
        <w:rFonts w:ascii="Century Gothic" w:hAnsi="Century Gothic" w:cs="Calibri"/>
        <w:b/>
        <w:bCs/>
        <w:color w:val="002060"/>
        <w:sz w:val="18"/>
        <w:szCs w:val="18"/>
      </w:rPr>
      <w:t>комплектаций</w:t>
    </w:r>
    <w:r w:rsidRPr="003F5BC7">
      <w:rPr>
        <w:rFonts w:ascii="Century Gothic" w:hAnsi="Century Gothic" w:cs="Leelawadee"/>
        <w:b/>
        <w:bCs/>
        <w:color w:val="002060"/>
        <w:sz w:val="18"/>
        <w:szCs w:val="18"/>
      </w:rPr>
      <w:t xml:space="preserve"> </w:t>
    </w:r>
    <w:r w:rsidRPr="003F5BC7">
      <w:rPr>
        <w:rFonts w:ascii="Century Gothic" w:hAnsi="Century Gothic" w:cs="Calibri"/>
        <w:b/>
        <w:bCs/>
        <w:color w:val="002060"/>
        <w:sz w:val="18"/>
        <w:szCs w:val="18"/>
      </w:rPr>
      <w:t>медицинских</w:t>
    </w:r>
    <w:r w:rsidRPr="003F5BC7">
      <w:rPr>
        <w:rFonts w:ascii="Century Gothic" w:hAnsi="Century Gothic" w:cs="Leelawadee"/>
        <w:b/>
        <w:bCs/>
        <w:color w:val="002060"/>
        <w:sz w:val="18"/>
        <w:szCs w:val="18"/>
      </w:rPr>
      <w:t xml:space="preserve"> </w:t>
    </w:r>
    <w:r w:rsidRPr="003F5BC7">
      <w:rPr>
        <w:rFonts w:ascii="Century Gothic" w:hAnsi="Century Gothic" w:cs="Calibri"/>
        <w:b/>
        <w:bCs/>
        <w:color w:val="002060"/>
        <w:sz w:val="18"/>
        <w:szCs w:val="18"/>
      </w:rPr>
      <w:t>кабинетов</w:t>
    </w:r>
    <w:r w:rsidRPr="003F5BC7">
      <w:rPr>
        <w:rFonts w:ascii="Century Gothic" w:hAnsi="Century Gothic" w:cs="Leelawadee"/>
        <w:b/>
        <w:bCs/>
        <w:color w:val="002060"/>
        <w:sz w:val="18"/>
        <w:szCs w:val="18"/>
      </w:rPr>
      <w:t xml:space="preserve"> </w:t>
    </w:r>
    <w:r w:rsidRPr="003F5BC7">
      <w:rPr>
        <w:rFonts w:ascii="Century Gothic" w:hAnsi="Century Gothic" w:cs="Calibri"/>
        <w:b/>
        <w:bCs/>
        <w:color w:val="002060"/>
        <w:sz w:val="18"/>
        <w:szCs w:val="18"/>
      </w:rPr>
      <w:t>для</w:t>
    </w:r>
    <w:r w:rsidRPr="003F5BC7">
      <w:rPr>
        <w:rFonts w:ascii="Century Gothic" w:hAnsi="Century Gothic" w:cs="Leelawadee"/>
        <w:b/>
        <w:bCs/>
        <w:color w:val="002060"/>
        <w:sz w:val="18"/>
        <w:szCs w:val="18"/>
      </w:rPr>
      <w:t xml:space="preserve"> </w:t>
    </w:r>
    <w:r w:rsidRPr="003F5BC7">
      <w:rPr>
        <w:rFonts w:ascii="Century Gothic" w:hAnsi="Century Gothic" w:cs="Calibri"/>
        <w:b/>
        <w:bCs/>
        <w:color w:val="002060"/>
        <w:sz w:val="18"/>
        <w:szCs w:val="18"/>
      </w:rPr>
      <w:t>получения</w:t>
    </w:r>
    <w:r w:rsidRPr="003F5BC7">
      <w:rPr>
        <w:rFonts w:ascii="Century Gothic" w:hAnsi="Century Gothic" w:cs="Leelawadee"/>
        <w:b/>
        <w:bCs/>
        <w:color w:val="002060"/>
        <w:sz w:val="18"/>
        <w:szCs w:val="18"/>
      </w:rPr>
      <w:t xml:space="preserve"> </w:t>
    </w:r>
    <w:r w:rsidRPr="003F5BC7">
      <w:rPr>
        <w:rFonts w:ascii="Century Gothic" w:hAnsi="Century Gothic" w:cs="Calibri"/>
        <w:b/>
        <w:bCs/>
        <w:color w:val="002060"/>
        <w:sz w:val="18"/>
        <w:szCs w:val="18"/>
      </w:rPr>
      <w:t>лицензии</w:t>
    </w:r>
  </w:p>
  <w:p w:rsidR="009F7FB4" w:rsidRPr="003F5BC7" w:rsidRDefault="009F7FB4" w:rsidP="00AB31A4">
    <w:pPr>
      <w:spacing w:after="0" w:line="240" w:lineRule="auto"/>
      <w:jc w:val="center"/>
      <w:rPr>
        <w:rFonts w:ascii="Leelawadee" w:hAnsi="Leelawadee" w:cs="Leelawade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7C"/>
    <w:rsid w:val="000210D9"/>
    <w:rsid w:val="000E3362"/>
    <w:rsid w:val="000E3E21"/>
    <w:rsid w:val="000F4A83"/>
    <w:rsid w:val="00132E9B"/>
    <w:rsid w:val="00140388"/>
    <w:rsid w:val="00176BBE"/>
    <w:rsid w:val="001D49B7"/>
    <w:rsid w:val="001F1730"/>
    <w:rsid w:val="00231C7A"/>
    <w:rsid w:val="0024328A"/>
    <w:rsid w:val="0024412C"/>
    <w:rsid w:val="00266AAB"/>
    <w:rsid w:val="002858DC"/>
    <w:rsid w:val="002907F7"/>
    <w:rsid w:val="00292197"/>
    <w:rsid w:val="00293693"/>
    <w:rsid w:val="002E5D4B"/>
    <w:rsid w:val="002F7B94"/>
    <w:rsid w:val="003F54FB"/>
    <w:rsid w:val="003F5BC7"/>
    <w:rsid w:val="0040162A"/>
    <w:rsid w:val="0048007C"/>
    <w:rsid w:val="004920DE"/>
    <w:rsid w:val="004C718F"/>
    <w:rsid w:val="004D1D36"/>
    <w:rsid w:val="00577C9D"/>
    <w:rsid w:val="005D5F56"/>
    <w:rsid w:val="006274AB"/>
    <w:rsid w:val="00651247"/>
    <w:rsid w:val="006602D0"/>
    <w:rsid w:val="006A5FB3"/>
    <w:rsid w:val="006E3542"/>
    <w:rsid w:val="007F0C3E"/>
    <w:rsid w:val="007F4F46"/>
    <w:rsid w:val="00841C10"/>
    <w:rsid w:val="00876F1E"/>
    <w:rsid w:val="00892AF3"/>
    <w:rsid w:val="009749F7"/>
    <w:rsid w:val="00987671"/>
    <w:rsid w:val="00991991"/>
    <w:rsid w:val="009C1327"/>
    <w:rsid w:val="009F01B2"/>
    <w:rsid w:val="009F7FB4"/>
    <w:rsid w:val="00A05E8E"/>
    <w:rsid w:val="00A14234"/>
    <w:rsid w:val="00A435FA"/>
    <w:rsid w:val="00A43F22"/>
    <w:rsid w:val="00A46834"/>
    <w:rsid w:val="00A5620E"/>
    <w:rsid w:val="00A66787"/>
    <w:rsid w:val="00A95FBD"/>
    <w:rsid w:val="00AB31A4"/>
    <w:rsid w:val="00AD7E90"/>
    <w:rsid w:val="00AE1BB8"/>
    <w:rsid w:val="00B002B7"/>
    <w:rsid w:val="00B04592"/>
    <w:rsid w:val="00B52B36"/>
    <w:rsid w:val="00B77F5E"/>
    <w:rsid w:val="00B91293"/>
    <w:rsid w:val="00C713BF"/>
    <w:rsid w:val="00C7657A"/>
    <w:rsid w:val="00C9586F"/>
    <w:rsid w:val="00CF13BF"/>
    <w:rsid w:val="00D8530C"/>
    <w:rsid w:val="00DF3FB2"/>
    <w:rsid w:val="00E246FF"/>
    <w:rsid w:val="00E34B1E"/>
    <w:rsid w:val="00E43C4E"/>
    <w:rsid w:val="00F53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A08C0"/>
  <w15:chartTrackingRefBased/>
  <w15:docId w15:val="{020C2AC9-FBDD-42A8-8EC1-45DB6D61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07C"/>
    <w:pPr>
      <w:spacing w:line="256" w:lineRule="auto"/>
    </w:pPr>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4234"/>
    <w:rPr>
      <w:color w:val="0000FF"/>
      <w:u w:val="single"/>
    </w:rPr>
  </w:style>
  <w:style w:type="paragraph" w:styleId="a4">
    <w:name w:val="Normal (Web)"/>
    <w:basedOn w:val="a"/>
    <w:uiPriority w:val="99"/>
    <w:unhideWhenUsed/>
    <w:rsid w:val="00A14234"/>
    <w:pPr>
      <w:spacing w:before="100" w:beforeAutospacing="1" w:after="100" w:afterAutospacing="1" w:line="240" w:lineRule="auto"/>
    </w:pPr>
    <w:rPr>
      <w:rFonts w:ascii="Times New Roman" w:hAnsi="Times New Roman" w:cs="Times New Roman"/>
      <w:kern w:val="0"/>
      <w:sz w:val="24"/>
      <w:szCs w:val="24"/>
      <w:lang w:eastAsia="ru-RU"/>
      <w14:ligatures w14:val="none"/>
    </w:rPr>
  </w:style>
  <w:style w:type="paragraph" w:styleId="a5">
    <w:name w:val="header"/>
    <w:basedOn w:val="a"/>
    <w:link w:val="a6"/>
    <w:unhideWhenUsed/>
    <w:rsid w:val="00B91293"/>
    <w:pPr>
      <w:tabs>
        <w:tab w:val="center" w:pos="4844"/>
        <w:tab w:val="right" w:pos="9689"/>
      </w:tabs>
      <w:spacing w:after="0" w:line="240" w:lineRule="auto"/>
    </w:pPr>
    <w:rPr>
      <w:kern w:val="0"/>
      <w14:ligatures w14:val="none"/>
    </w:rPr>
  </w:style>
  <w:style w:type="character" w:customStyle="1" w:styleId="a6">
    <w:name w:val="Верхний колонтитул Знак"/>
    <w:basedOn w:val="a0"/>
    <w:link w:val="a5"/>
    <w:rsid w:val="00B91293"/>
  </w:style>
  <w:style w:type="paragraph" w:styleId="a7">
    <w:name w:val="footer"/>
    <w:basedOn w:val="a"/>
    <w:link w:val="a8"/>
    <w:uiPriority w:val="99"/>
    <w:unhideWhenUsed/>
    <w:rsid w:val="00B91293"/>
    <w:pPr>
      <w:tabs>
        <w:tab w:val="center" w:pos="4844"/>
        <w:tab w:val="right" w:pos="9689"/>
      </w:tabs>
      <w:spacing w:after="0" w:line="240" w:lineRule="auto"/>
    </w:pPr>
    <w:rPr>
      <w:kern w:val="0"/>
      <w14:ligatures w14:val="none"/>
    </w:rPr>
  </w:style>
  <w:style w:type="character" w:customStyle="1" w:styleId="a8">
    <w:name w:val="Нижний колонтитул Знак"/>
    <w:basedOn w:val="a0"/>
    <w:link w:val="a7"/>
    <w:uiPriority w:val="99"/>
    <w:rsid w:val="00B91293"/>
  </w:style>
  <w:style w:type="table" w:styleId="a9">
    <w:name w:val="Table Grid"/>
    <w:basedOn w:val="a1"/>
    <w:rsid w:val="00B91293"/>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B77F5E"/>
    <w:rPr>
      <w:color w:val="954F72" w:themeColor="followedHyperlink"/>
      <w:u w:val="single"/>
    </w:rPr>
  </w:style>
  <w:style w:type="character" w:styleId="ab">
    <w:name w:val="Unresolved Mention"/>
    <w:basedOn w:val="a0"/>
    <w:uiPriority w:val="99"/>
    <w:semiHidden/>
    <w:unhideWhenUsed/>
    <w:rsid w:val="00D853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97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info@ambimed.ru"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zbuk\Desktop\&#1064;&#1072;&#1073;&#1083;&#1086;&#1085;%20&#1050;&#105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7C229-4E24-4B8D-84EE-712828D57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КП</Template>
  <TotalTime>3</TotalTime>
  <Pages>2</Pages>
  <Words>588</Words>
  <Characters>3352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Сева Азбукин</dc:creator>
  <cp:keywords/>
  <dc:description/>
  <cp:lastModifiedBy>Сева Азбукин</cp:lastModifiedBy>
  <cp:revision>1</cp:revision>
  <cp:lastPrinted>2022-05-24T11:40:00Z</cp:lastPrinted>
  <dcterms:created xsi:type="dcterms:W3CDTF">2023-08-21T14:37:00Z</dcterms:created>
  <dcterms:modified xsi:type="dcterms:W3CDTF">2023-08-21T14:40:00Z</dcterms:modified>
</cp:coreProperties>
</file>